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AFA" w:rsidRPr="005C4D32" w:rsidRDefault="005C4D32" w:rsidP="00276427">
      <w:pPr>
        <w:jc w:val="center"/>
        <w:rPr>
          <w:rFonts w:ascii="Times New Roman" w:hAnsi="Times New Roman" w:cs="Times New Roman"/>
          <w:sz w:val="40"/>
          <w:szCs w:val="40"/>
        </w:rPr>
      </w:pPr>
      <w:r w:rsidRPr="005C4D32">
        <w:rPr>
          <w:rFonts w:ascii="Times New Roman" w:hAnsi="Times New Roman" w:cs="Times New Roman"/>
          <w:sz w:val="40"/>
          <w:szCs w:val="40"/>
        </w:rPr>
        <w:t xml:space="preserve">Self-Evaluation Checklist for Faculty Review, College of Electrical Engineering and Computer Science, National Chung </w:t>
      </w:r>
      <w:proofErr w:type="spellStart"/>
      <w:r w:rsidRPr="005C4D32">
        <w:rPr>
          <w:rFonts w:ascii="Times New Roman" w:hAnsi="Times New Roman" w:cs="Times New Roman"/>
          <w:sz w:val="40"/>
          <w:szCs w:val="40"/>
        </w:rPr>
        <w:t>Hsing</w:t>
      </w:r>
      <w:proofErr w:type="spellEnd"/>
      <w:r w:rsidRPr="005C4D32">
        <w:rPr>
          <w:rFonts w:ascii="Times New Roman" w:hAnsi="Times New Roman" w:cs="Times New Roman"/>
          <w:sz w:val="40"/>
          <w:szCs w:val="40"/>
        </w:rPr>
        <w:t xml:space="preserve"> University</w:t>
      </w:r>
    </w:p>
    <w:p w:rsidR="002E3AFA" w:rsidRDefault="00276427">
      <w:r>
        <w:rPr>
          <w:rFonts w:ascii="Times New Roman" w:hAnsi="Times New Roman"/>
          <w:sz w:val="24"/>
        </w:rPr>
        <w:t>Teacher's Name:</w:t>
      </w:r>
      <w:r w:rsidR="005C4D32">
        <w:tab/>
      </w:r>
      <w:r w:rsidR="005C4D32">
        <w:tab/>
      </w:r>
      <w:r w:rsidR="005C4D32">
        <w:tab/>
      </w:r>
      <w:r w:rsidR="005C4D32">
        <w:tab/>
      </w:r>
      <w:r w:rsidR="005C4D32">
        <w:tab/>
      </w:r>
      <w:r>
        <w:rPr>
          <w:rFonts w:ascii="Times New Roman" w:hAnsi="Times New Roman"/>
          <w:sz w:val="24"/>
        </w:rPr>
        <w:t>Department/Institute:</w:t>
      </w:r>
    </w:p>
    <w:p w:rsidR="002E3AFA" w:rsidRDefault="00276427">
      <w:r>
        <w:rPr>
          <w:rFonts w:ascii="Times New Roman" w:hAnsi="Times New Roman"/>
          <w:sz w:val="24"/>
        </w:rPr>
        <w:t>Title:</w:t>
      </w:r>
      <w:r w:rsidR="005C4D32">
        <w:tab/>
      </w:r>
      <w:r w:rsidR="005C4D32">
        <w:tab/>
      </w:r>
      <w:r w:rsidR="005C4D32">
        <w:tab/>
      </w:r>
      <w:r w:rsidR="005C4D32">
        <w:tab/>
      </w:r>
      <w:r w:rsidR="005C4D32">
        <w:tab/>
      </w:r>
      <w:r w:rsidR="005C4D32">
        <w:tab/>
      </w:r>
      <w:r w:rsidR="005C4D32">
        <w:tab/>
      </w:r>
      <w:r>
        <w:rPr>
          <w:rFonts w:ascii="Times New Roman" w:hAnsi="Times New Roman"/>
          <w:sz w:val="24"/>
        </w:rPr>
        <w:t>Years of Service: __ years</w:t>
      </w:r>
    </w:p>
    <w:p w:rsidR="002E3AFA" w:rsidRDefault="00276427">
      <w:r>
        <w:rPr>
          <w:rFonts w:ascii="Times New Roman" w:hAnsi="Times New Roman"/>
          <w:sz w:val="24"/>
        </w:rPr>
        <w:t xml:space="preserve">Evaluation </w:t>
      </w:r>
      <w:proofErr w:type="spellStart"/>
      <w:proofErr w:type="gramStart"/>
      <w:r>
        <w:rPr>
          <w:rFonts w:ascii="Times New Roman" w:hAnsi="Times New Roman"/>
          <w:sz w:val="24"/>
        </w:rPr>
        <w:t>Date:</w:t>
      </w:r>
      <w:r w:rsidR="005C4D32" w:rsidRPr="00CB30FC">
        <w:rPr>
          <w:rFonts w:ascii="微軟正黑體" w:eastAsia="微軟正黑體" w:hAnsi="微軟正黑體" w:cs="微軟正黑體" w:hint="eastAsia"/>
          <w:color w:val="BFBFBF" w:themeColor="background1" w:themeShade="BF"/>
          <w:sz w:val="24"/>
          <w:lang w:eastAsia="zh-TW"/>
        </w:rPr>
        <w:t>y</w:t>
      </w:r>
      <w:r w:rsidR="005C4D32" w:rsidRPr="00CB30FC">
        <w:rPr>
          <w:rFonts w:ascii="微軟正黑體" w:eastAsia="微軟正黑體" w:hAnsi="微軟正黑體" w:cs="微軟正黑體"/>
          <w:color w:val="BFBFBF" w:themeColor="background1" w:themeShade="BF"/>
          <w:sz w:val="24"/>
          <w:lang w:eastAsia="zh-TW"/>
        </w:rPr>
        <w:t>y</w:t>
      </w:r>
      <w:proofErr w:type="spellEnd"/>
      <w:proofErr w:type="gramEnd"/>
      <w:r w:rsidR="005C4D32" w:rsidRPr="00CB30FC">
        <w:rPr>
          <w:rFonts w:ascii="微軟正黑體" w:eastAsia="微軟正黑體" w:hAnsi="微軟正黑體" w:cs="微軟正黑體"/>
          <w:color w:val="BFBFBF" w:themeColor="background1" w:themeShade="BF"/>
          <w:sz w:val="24"/>
          <w:lang w:eastAsia="zh-TW"/>
        </w:rPr>
        <w:t>/mm/dd</w:t>
      </w:r>
      <w:r w:rsidR="005C4D32">
        <w:rPr>
          <w:rFonts w:ascii="Times New Roman" w:hAnsi="Times New Roman"/>
          <w:sz w:val="24"/>
        </w:rPr>
        <w:tab/>
      </w:r>
      <w:r w:rsidR="005C4D32">
        <w:rPr>
          <w:rFonts w:ascii="Times New Roman" w:hAnsi="Times New Roman"/>
          <w:sz w:val="24"/>
        </w:rPr>
        <w:tab/>
      </w:r>
      <w:r w:rsidR="005C4D32">
        <w:rPr>
          <w:rFonts w:ascii="Times New Roman" w:hAnsi="Times New Roman"/>
          <w:sz w:val="24"/>
        </w:rPr>
        <w:tab/>
      </w:r>
      <w:r w:rsidR="005C4D32">
        <w:rPr>
          <w:rFonts w:ascii="Times New Roman" w:hAnsi="Times New Roman"/>
          <w:sz w:val="24"/>
        </w:rPr>
        <w:tab/>
      </w:r>
      <w:r>
        <w:rPr>
          <w:rFonts w:ascii="Times New Roman" w:hAnsi="Times New Roman"/>
          <w:sz w:val="24"/>
        </w:rPr>
        <w:t>Teacher's Signature:</w:t>
      </w:r>
    </w:p>
    <w:tbl>
      <w:tblPr>
        <w:tblStyle w:val="aff2"/>
        <w:tblW w:w="0" w:type="auto"/>
        <w:tblLook w:val="04A0" w:firstRow="1" w:lastRow="0" w:firstColumn="1" w:lastColumn="0" w:noHBand="0" w:noVBand="1"/>
      </w:tblPr>
      <w:tblGrid>
        <w:gridCol w:w="2138"/>
        <w:gridCol w:w="2751"/>
        <w:gridCol w:w="1077"/>
        <w:gridCol w:w="1077"/>
        <w:gridCol w:w="3747"/>
      </w:tblGrid>
      <w:tr w:rsidR="00C34754" w:rsidTr="005C4D32">
        <w:tc>
          <w:tcPr>
            <w:tcW w:w="2138" w:type="dxa"/>
            <w:vMerge w:val="restart"/>
          </w:tcPr>
          <w:p w:rsidR="00C34754" w:rsidRDefault="00C34754">
            <w:r>
              <w:rPr>
                <w:b/>
                <w:sz w:val="24"/>
              </w:rPr>
              <w:t>Category</w:t>
            </w:r>
          </w:p>
        </w:tc>
        <w:tc>
          <w:tcPr>
            <w:tcW w:w="2751" w:type="dxa"/>
            <w:vMerge w:val="restart"/>
          </w:tcPr>
          <w:p w:rsidR="00C34754" w:rsidRDefault="00C34754">
            <w:r>
              <w:rPr>
                <w:b/>
                <w:sz w:val="24"/>
              </w:rPr>
              <w:t>Item and Description</w:t>
            </w:r>
          </w:p>
        </w:tc>
        <w:tc>
          <w:tcPr>
            <w:tcW w:w="2154" w:type="dxa"/>
            <w:gridSpan w:val="2"/>
          </w:tcPr>
          <w:p w:rsidR="00C34754" w:rsidRDefault="00C34754">
            <w:r>
              <w:rPr>
                <w:b/>
                <w:sz w:val="24"/>
              </w:rPr>
              <w:t>Self-Evaluation (Please check)</w:t>
            </w:r>
          </w:p>
        </w:tc>
        <w:tc>
          <w:tcPr>
            <w:tcW w:w="3747" w:type="dxa"/>
            <w:vMerge w:val="restart"/>
          </w:tcPr>
          <w:p w:rsidR="00C34754" w:rsidRDefault="00C34754">
            <w:r>
              <w:rPr>
                <w:b/>
                <w:sz w:val="24"/>
              </w:rPr>
              <w:t>Unit Endorsement</w:t>
            </w:r>
          </w:p>
        </w:tc>
      </w:tr>
      <w:tr w:rsidR="00C34754" w:rsidTr="005C4D32">
        <w:tc>
          <w:tcPr>
            <w:tcW w:w="2138" w:type="dxa"/>
            <w:vMerge/>
          </w:tcPr>
          <w:p w:rsidR="00C34754" w:rsidRDefault="00C34754"/>
        </w:tc>
        <w:tc>
          <w:tcPr>
            <w:tcW w:w="2751" w:type="dxa"/>
            <w:vMerge/>
          </w:tcPr>
          <w:p w:rsidR="00C34754" w:rsidRDefault="00C34754"/>
        </w:tc>
        <w:tc>
          <w:tcPr>
            <w:tcW w:w="1077" w:type="dxa"/>
          </w:tcPr>
          <w:p w:rsidR="00C34754" w:rsidRDefault="00C34754">
            <w:r>
              <w:t>Meets Criteria</w:t>
            </w:r>
          </w:p>
        </w:tc>
        <w:tc>
          <w:tcPr>
            <w:tcW w:w="1077" w:type="dxa"/>
          </w:tcPr>
          <w:p w:rsidR="00C34754" w:rsidRDefault="00C34754">
            <w:r>
              <w:t>Does Not Meet Criteria</w:t>
            </w:r>
          </w:p>
        </w:tc>
        <w:tc>
          <w:tcPr>
            <w:tcW w:w="3747" w:type="dxa"/>
            <w:vMerge/>
          </w:tcPr>
          <w:p w:rsidR="00C34754" w:rsidRDefault="00C34754"/>
        </w:tc>
      </w:tr>
      <w:tr w:rsidR="005C4D32" w:rsidTr="005C4D32">
        <w:trPr>
          <w:trHeight w:val="1080"/>
        </w:trPr>
        <w:tc>
          <w:tcPr>
            <w:tcW w:w="2138" w:type="dxa"/>
            <w:vMerge w:val="restart"/>
          </w:tcPr>
          <w:p w:rsidR="005C4D32" w:rsidRDefault="005C4D32">
            <w:r>
              <w:rPr>
                <w:sz w:val="24"/>
              </w:rPr>
              <w:t>Teaching</w:t>
            </w:r>
          </w:p>
        </w:tc>
        <w:tc>
          <w:tcPr>
            <w:tcW w:w="2751" w:type="dxa"/>
            <w:vMerge w:val="restart"/>
          </w:tcPr>
          <w:p w:rsidR="005C4D32" w:rsidRDefault="005C4D32">
            <w:r>
              <w:rPr>
                <w:sz w:val="24"/>
              </w:rPr>
              <w:t>Teaching hours (including class and practicum hours) comply with the "National Chung Hsing University Teaching Hours and Overload Compensation Calculation Guidelines" (Last five years).</w:t>
            </w:r>
          </w:p>
        </w:tc>
        <w:tc>
          <w:tcPr>
            <w:tcW w:w="1077" w:type="dxa"/>
            <w:vMerge w:val="restart"/>
          </w:tcPr>
          <w:p w:rsidR="005C4D32" w:rsidRDefault="005C4D32"/>
        </w:tc>
        <w:tc>
          <w:tcPr>
            <w:tcW w:w="1077" w:type="dxa"/>
            <w:vMerge w:val="restart"/>
          </w:tcPr>
          <w:p w:rsidR="005C4D32" w:rsidRDefault="005C4D32"/>
        </w:tc>
        <w:tc>
          <w:tcPr>
            <w:tcW w:w="3747" w:type="dxa"/>
          </w:tcPr>
          <w:p w:rsidR="005C4D32" w:rsidRDefault="005C4D32">
            <w:r>
              <w:rPr>
                <w:sz w:val="24"/>
              </w:rPr>
              <w:t>Academic Affairs Office Endorsement</w:t>
            </w:r>
          </w:p>
        </w:tc>
      </w:tr>
      <w:tr w:rsidR="005C4D32" w:rsidTr="005C4D32">
        <w:trPr>
          <w:trHeight w:val="1080"/>
        </w:trPr>
        <w:tc>
          <w:tcPr>
            <w:tcW w:w="2138" w:type="dxa"/>
            <w:vMerge/>
          </w:tcPr>
          <w:p w:rsidR="005C4D32" w:rsidRDefault="005C4D32">
            <w:pPr>
              <w:rPr>
                <w:sz w:val="24"/>
              </w:rPr>
            </w:pPr>
          </w:p>
        </w:tc>
        <w:tc>
          <w:tcPr>
            <w:tcW w:w="2751" w:type="dxa"/>
            <w:vMerge/>
          </w:tcPr>
          <w:p w:rsidR="005C4D32" w:rsidRDefault="005C4D32">
            <w:pPr>
              <w:rPr>
                <w:sz w:val="24"/>
              </w:rPr>
            </w:pPr>
          </w:p>
        </w:tc>
        <w:tc>
          <w:tcPr>
            <w:tcW w:w="1077" w:type="dxa"/>
            <w:vMerge/>
          </w:tcPr>
          <w:p w:rsidR="005C4D32" w:rsidRDefault="005C4D32"/>
        </w:tc>
        <w:tc>
          <w:tcPr>
            <w:tcW w:w="1077" w:type="dxa"/>
            <w:vMerge/>
          </w:tcPr>
          <w:p w:rsidR="005C4D32" w:rsidRDefault="005C4D32"/>
        </w:tc>
        <w:tc>
          <w:tcPr>
            <w:tcW w:w="3747" w:type="dxa"/>
          </w:tcPr>
          <w:p w:rsidR="005C4D32" w:rsidRDefault="005C4D32">
            <w:pPr>
              <w:rPr>
                <w:sz w:val="24"/>
              </w:rPr>
            </w:pPr>
          </w:p>
        </w:tc>
      </w:tr>
      <w:tr w:rsidR="005C4D32" w:rsidTr="005C4D32">
        <w:trPr>
          <w:trHeight w:val="651"/>
        </w:trPr>
        <w:tc>
          <w:tcPr>
            <w:tcW w:w="2138" w:type="dxa"/>
            <w:vMerge/>
          </w:tcPr>
          <w:p w:rsidR="005C4D32" w:rsidRDefault="005C4D32"/>
        </w:tc>
        <w:tc>
          <w:tcPr>
            <w:tcW w:w="2751" w:type="dxa"/>
            <w:vMerge w:val="restart"/>
          </w:tcPr>
          <w:p w:rsidR="005C4D32" w:rsidRDefault="005C4D32">
            <w:r>
              <w:rPr>
                <w:sz w:val="24"/>
              </w:rPr>
              <w:t>The evaluated faculty member's graduate thesis topics align with their professional field within the last five years.</w:t>
            </w:r>
          </w:p>
        </w:tc>
        <w:tc>
          <w:tcPr>
            <w:tcW w:w="1077" w:type="dxa"/>
            <w:vMerge w:val="restart"/>
          </w:tcPr>
          <w:p w:rsidR="005C4D32" w:rsidRDefault="005C4D32"/>
        </w:tc>
        <w:tc>
          <w:tcPr>
            <w:tcW w:w="1077" w:type="dxa"/>
            <w:vMerge w:val="restart"/>
          </w:tcPr>
          <w:p w:rsidR="005C4D32" w:rsidRDefault="005C4D32"/>
        </w:tc>
        <w:tc>
          <w:tcPr>
            <w:tcW w:w="3747" w:type="dxa"/>
          </w:tcPr>
          <w:p w:rsidR="005C4D32" w:rsidRDefault="005C4D32">
            <w:r>
              <w:rPr>
                <w:sz w:val="24"/>
              </w:rPr>
              <w:t>Departmental Evaluation Committee Endorsement</w:t>
            </w:r>
          </w:p>
        </w:tc>
      </w:tr>
      <w:tr w:rsidR="005C4D32" w:rsidTr="005C4D32">
        <w:trPr>
          <w:trHeight w:val="651"/>
        </w:trPr>
        <w:tc>
          <w:tcPr>
            <w:tcW w:w="2138" w:type="dxa"/>
            <w:vMerge/>
          </w:tcPr>
          <w:p w:rsidR="005C4D32" w:rsidRDefault="005C4D32"/>
        </w:tc>
        <w:tc>
          <w:tcPr>
            <w:tcW w:w="2751" w:type="dxa"/>
            <w:vMerge/>
          </w:tcPr>
          <w:p w:rsidR="005C4D32" w:rsidRDefault="005C4D32">
            <w:pPr>
              <w:rPr>
                <w:sz w:val="24"/>
              </w:rPr>
            </w:pPr>
          </w:p>
        </w:tc>
        <w:tc>
          <w:tcPr>
            <w:tcW w:w="1077" w:type="dxa"/>
            <w:vMerge/>
          </w:tcPr>
          <w:p w:rsidR="005C4D32" w:rsidRDefault="005C4D32"/>
        </w:tc>
        <w:tc>
          <w:tcPr>
            <w:tcW w:w="1077" w:type="dxa"/>
            <w:vMerge/>
          </w:tcPr>
          <w:p w:rsidR="005C4D32" w:rsidRDefault="005C4D32"/>
        </w:tc>
        <w:tc>
          <w:tcPr>
            <w:tcW w:w="3747" w:type="dxa"/>
          </w:tcPr>
          <w:p w:rsidR="005C4D32" w:rsidRDefault="005C4D32">
            <w:pPr>
              <w:rPr>
                <w:sz w:val="24"/>
              </w:rPr>
            </w:pPr>
          </w:p>
        </w:tc>
      </w:tr>
      <w:tr w:rsidR="005C4D32" w:rsidTr="005C4D32">
        <w:trPr>
          <w:trHeight w:val="974"/>
        </w:trPr>
        <w:tc>
          <w:tcPr>
            <w:tcW w:w="2138" w:type="dxa"/>
            <w:vMerge w:val="restart"/>
          </w:tcPr>
          <w:p w:rsidR="005C4D32" w:rsidRDefault="005C4D32">
            <w:r>
              <w:rPr>
                <w:sz w:val="24"/>
              </w:rPr>
              <w:t>Research</w:t>
            </w:r>
          </w:p>
        </w:tc>
        <w:tc>
          <w:tcPr>
            <w:tcW w:w="2751" w:type="dxa"/>
            <w:vMerge w:val="restart"/>
          </w:tcPr>
          <w:p w:rsidR="005C4D32" w:rsidRDefault="005C4D32">
            <w:r>
              <w:rPr>
                <w:sz w:val="24"/>
              </w:rPr>
              <w:t>Publications (journal articles, conference papers, books, patents, etc.) or research projects funded by the National Science and Technology Council in the last five years. Note 1</w:t>
            </w:r>
          </w:p>
        </w:tc>
        <w:tc>
          <w:tcPr>
            <w:tcW w:w="1077" w:type="dxa"/>
            <w:vMerge w:val="restart"/>
          </w:tcPr>
          <w:p w:rsidR="005C4D32" w:rsidRDefault="005C4D32"/>
        </w:tc>
        <w:tc>
          <w:tcPr>
            <w:tcW w:w="1077" w:type="dxa"/>
            <w:vMerge w:val="restart"/>
          </w:tcPr>
          <w:p w:rsidR="005C4D32" w:rsidRDefault="005C4D32"/>
        </w:tc>
        <w:tc>
          <w:tcPr>
            <w:tcW w:w="3747" w:type="dxa"/>
          </w:tcPr>
          <w:p w:rsidR="005C4D32" w:rsidRDefault="005C4D32">
            <w:r>
              <w:rPr>
                <w:sz w:val="24"/>
              </w:rPr>
              <w:t>Departmental Evaluation Committee Endorsement</w:t>
            </w:r>
          </w:p>
        </w:tc>
      </w:tr>
      <w:tr w:rsidR="005C4D32" w:rsidTr="005C4D32">
        <w:trPr>
          <w:trHeight w:val="974"/>
        </w:trPr>
        <w:tc>
          <w:tcPr>
            <w:tcW w:w="2138" w:type="dxa"/>
            <w:vMerge/>
          </w:tcPr>
          <w:p w:rsidR="005C4D32" w:rsidRDefault="005C4D32">
            <w:pPr>
              <w:rPr>
                <w:sz w:val="24"/>
              </w:rPr>
            </w:pPr>
          </w:p>
        </w:tc>
        <w:tc>
          <w:tcPr>
            <w:tcW w:w="2751" w:type="dxa"/>
            <w:vMerge/>
          </w:tcPr>
          <w:p w:rsidR="005C4D32" w:rsidRDefault="005C4D32">
            <w:pPr>
              <w:rPr>
                <w:sz w:val="24"/>
              </w:rPr>
            </w:pPr>
          </w:p>
        </w:tc>
        <w:tc>
          <w:tcPr>
            <w:tcW w:w="1077" w:type="dxa"/>
            <w:vMerge/>
          </w:tcPr>
          <w:p w:rsidR="005C4D32" w:rsidRDefault="005C4D32"/>
        </w:tc>
        <w:tc>
          <w:tcPr>
            <w:tcW w:w="1077" w:type="dxa"/>
            <w:vMerge/>
          </w:tcPr>
          <w:p w:rsidR="005C4D32" w:rsidRDefault="005C4D32"/>
        </w:tc>
        <w:tc>
          <w:tcPr>
            <w:tcW w:w="3747" w:type="dxa"/>
          </w:tcPr>
          <w:p w:rsidR="005C4D32" w:rsidRDefault="005C4D32">
            <w:pPr>
              <w:rPr>
                <w:sz w:val="24"/>
              </w:rPr>
            </w:pPr>
          </w:p>
        </w:tc>
      </w:tr>
      <w:tr w:rsidR="005C4D32" w:rsidTr="005C4D32">
        <w:trPr>
          <w:trHeight w:val="323"/>
        </w:trPr>
        <w:tc>
          <w:tcPr>
            <w:tcW w:w="2138" w:type="dxa"/>
            <w:vMerge w:val="restart"/>
          </w:tcPr>
          <w:p w:rsidR="005C4D32" w:rsidRDefault="005C4D32">
            <w:r>
              <w:rPr>
                <w:sz w:val="24"/>
              </w:rPr>
              <w:t>Service</w:t>
            </w:r>
          </w:p>
        </w:tc>
        <w:tc>
          <w:tcPr>
            <w:tcW w:w="2751" w:type="dxa"/>
            <w:vMerge w:val="restart"/>
          </w:tcPr>
          <w:p w:rsidR="005C4D32" w:rsidRDefault="005C4D32">
            <w:r>
              <w:rPr>
                <w:sz w:val="24"/>
              </w:rPr>
              <w:t>Departmental and other internal/external service activities. Note 2</w:t>
            </w:r>
          </w:p>
        </w:tc>
        <w:tc>
          <w:tcPr>
            <w:tcW w:w="1077" w:type="dxa"/>
            <w:vMerge w:val="restart"/>
          </w:tcPr>
          <w:p w:rsidR="005C4D32" w:rsidRDefault="005C4D32"/>
        </w:tc>
        <w:tc>
          <w:tcPr>
            <w:tcW w:w="1077" w:type="dxa"/>
            <w:vMerge w:val="restart"/>
          </w:tcPr>
          <w:p w:rsidR="005C4D32" w:rsidRDefault="005C4D32"/>
        </w:tc>
        <w:tc>
          <w:tcPr>
            <w:tcW w:w="3747" w:type="dxa"/>
          </w:tcPr>
          <w:p w:rsidR="005C4D32" w:rsidRDefault="005C4D32">
            <w:r>
              <w:rPr>
                <w:sz w:val="24"/>
              </w:rPr>
              <w:t>Department Head Endorsement</w:t>
            </w:r>
          </w:p>
        </w:tc>
      </w:tr>
      <w:tr w:rsidR="005C4D32" w:rsidTr="005C4D32">
        <w:trPr>
          <w:trHeight w:val="323"/>
        </w:trPr>
        <w:tc>
          <w:tcPr>
            <w:tcW w:w="2138" w:type="dxa"/>
            <w:vMerge/>
          </w:tcPr>
          <w:p w:rsidR="005C4D32" w:rsidRDefault="005C4D32">
            <w:pPr>
              <w:rPr>
                <w:sz w:val="24"/>
              </w:rPr>
            </w:pPr>
          </w:p>
        </w:tc>
        <w:tc>
          <w:tcPr>
            <w:tcW w:w="2751" w:type="dxa"/>
            <w:vMerge/>
          </w:tcPr>
          <w:p w:rsidR="005C4D32" w:rsidRDefault="005C4D32">
            <w:pPr>
              <w:rPr>
                <w:sz w:val="24"/>
              </w:rPr>
            </w:pPr>
          </w:p>
        </w:tc>
        <w:tc>
          <w:tcPr>
            <w:tcW w:w="1077" w:type="dxa"/>
            <w:vMerge/>
          </w:tcPr>
          <w:p w:rsidR="005C4D32" w:rsidRDefault="005C4D32"/>
        </w:tc>
        <w:tc>
          <w:tcPr>
            <w:tcW w:w="1077" w:type="dxa"/>
            <w:vMerge/>
          </w:tcPr>
          <w:p w:rsidR="005C4D32" w:rsidRDefault="005C4D32"/>
        </w:tc>
        <w:tc>
          <w:tcPr>
            <w:tcW w:w="3747" w:type="dxa"/>
          </w:tcPr>
          <w:p w:rsidR="005C4D32" w:rsidRDefault="005C4D32">
            <w:pPr>
              <w:rPr>
                <w:sz w:val="24"/>
              </w:rPr>
            </w:pPr>
          </w:p>
          <w:p w:rsidR="00CB30FC" w:rsidRDefault="00CB30FC">
            <w:pPr>
              <w:rPr>
                <w:sz w:val="24"/>
              </w:rPr>
            </w:pPr>
          </w:p>
          <w:p w:rsidR="00CB30FC" w:rsidRDefault="00CB30FC">
            <w:pPr>
              <w:rPr>
                <w:sz w:val="24"/>
              </w:rPr>
            </w:pPr>
          </w:p>
          <w:p w:rsidR="00CB30FC" w:rsidRDefault="00CB30FC">
            <w:pPr>
              <w:rPr>
                <w:sz w:val="24"/>
              </w:rPr>
            </w:pPr>
          </w:p>
          <w:p w:rsidR="00CB30FC" w:rsidRDefault="00CB30FC">
            <w:pPr>
              <w:rPr>
                <w:sz w:val="24"/>
              </w:rPr>
            </w:pPr>
          </w:p>
        </w:tc>
      </w:tr>
    </w:tbl>
    <w:p w:rsidR="002E3AFA" w:rsidRDefault="002E3AFA"/>
    <w:p w:rsidR="002E3AFA" w:rsidRDefault="00276427">
      <w:r>
        <w:lastRenderedPageBreak/>
        <w:t>Note 1: Publications must be authored as the first author or corresponding author. Attach two representative works from the last five years, or one work if the service period is less than five years. The representative works must be indexed by SCI or EI. Research performance descriptions (including academic awards and funded research projects) should be substantiated by the last five years' results from research projects funded by the National Science and Technology Council's Department of Engineering and Technologies.</w:t>
      </w:r>
    </w:p>
    <w:p w:rsidR="002E3AFA" w:rsidRDefault="00276427">
      <w:r>
        <w:t>Note 2: Service performance descriptions should be listed in an attachment, detailing positions or activities held over the past five years within the department or other internal/external roles, accompanied by supporting documentation.</w:t>
      </w:r>
    </w:p>
    <w:p w:rsidR="002E3AFA" w:rsidRDefault="00C34754">
      <w:r>
        <w:rPr>
          <w:rFonts w:ascii="新細明體" w:eastAsia="新細明體" w:hAnsi="新細明體" w:hint="eastAsia"/>
        </w:rPr>
        <w:t>□</w:t>
      </w:r>
      <w:r w:rsidR="00276427">
        <w:t>Agree with the self-evaluation result.</w:t>
      </w:r>
    </w:p>
    <w:p w:rsidR="002E3AFA" w:rsidRDefault="00C34754">
      <w:r>
        <w:rPr>
          <w:rFonts w:ascii="新細明體" w:eastAsia="新細明體" w:hAnsi="新細明體" w:hint="eastAsia"/>
        </w:rPr>
        <w:t>□</w:t>
      </w:r>
      <w:r w:rsidR="00276427">
        <w:t>Disagree with the self-evaluation result. (Reason:                           )</w:t>
      </w:r>
    </w:p>
    <w:p w:rsidR="002E3AFA" w:rsidRDefault="00276427">
      <w:r>
        <w:t>Evaluator's Signature:</w:t>
      </w:r>
      <w:r w:rsidRPr="00276427">
        <w:rPr>
          <w:rFonts w:ascii="新細明體" w:eastAsia="新細明體" w:hAnsi="新細明體" w:hint="eastAsia"/>
          <w:u w:val="single"/>
          <w:lang w:eastAsia="zh-TW"/>
        </w:rPr>
        <w:t xml:space="preserve">　　　</w:t>
      </w:r>
      <w:bookmarkStart w:id="0" w:name="_GoBack"/>
      <w:bookmarkEnd w:id="0"/>
      <w:r w:rsidR="00F54138">
        <w:rPr>
          <w:rFonts w:ascii="新細明體" w:eastAsia="新細明體" w:hAnsi="新細明體" w:cs="新細明體"/>
          <w:noProof/>
          <w:szCs w:val="24"/>
        </w:rPr>
        <mc:AlternateContent>
          <mc:Choice Requires="wps">
            <w:drawing>
              <wp:anchor distT="45720" distB="45720" distL="114300" distR="114300" simplePos="0" relativeHeight="251659264" behindDoc="0" locked="0" layoutInCell="1" allowOverlap="1">
                <wp:simplePos x="0" y="0"/>
                <wp:positionH relativeFrom="column">
                  <wp:posOffset>406400</wp:posOffset>
                </wp:positionH>
                <wp:positionV relativeFrom="paragraph">
                  <wp:posOffset>6346190</wp:posOffset>
                </wp:positionV>
                <wp:extent cx="5791200" cy="215265"/>
                <wp:effectExtent l="0" t="0" r="0" b="0"/>
                <wp:wrapSquare wrapText="bothSides"/>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17170"/>
                        </a:xfrm>
                        <a:prstGeom prst="rect">
                          <a:avLst/>
                        </a:prstGeom>
                        <a:solidFill>
                          <a:srgbClr val="FFFFFF"/>
                        </a:solidFill>
                        <a:ln w="9525">
                          <a:noFill/>
                          <a:miter lim="800000"/>
                          <a:headEnd/>
                          <a:tailEnd/>
                        </a:ln>
                      </wps:spPr>
                      <wps:txbx>
                        <w:txbxContent>
                          <w:p w:rsidR="00F54138" w:rsidRDefault="00F54138" w:rsidP="00F54138">
                            <w:pPr>
                              <w:pStyle w:val="ae"/>
                              <w:ind w:left="480"/>
                              <w:rPr>
                                <w:rFonts w:ascii="Times New Roman" w:hAnsi="Times New Roman" w:cs="Times New Roman"/>
                                <w:sz w:val="16"/>
                              </w:rPr>
                            </w:pPr>
                            <w:r>
                              <w:rPr>
                                <w:rFonts w:ascii="Times New Roman" w:hAnsi="Times New Roman" w:cs="Times New Roman"/>
                                <w:sz w:val="16"/>
                              </w:rPr>
                              <w:t>Note: In case of discrepancies or inconsistencies between the English and Chinese versions, the Chinese version shall prevail.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17" o:spid="_x0000_s1026" type="#_x0000_t202" style="position:absolute;margin-left:32pt;margin-top:499.7pt;width:456pt;height:16.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OfvNgIAACMEAAAOAAAAZHJzL2Uyb0RvYy54bWysU11uEzEQfkfiDpbfyWajhDSrbKqSEoRU&#10;fqTCARyvN2the4ztZDdcAKkHKM8cgANwoPYcjL1pGpU3hB8sj2f8eeabb+bnnVZkJ5yXYEqaD4aU&#10;CMOhkmZT0s+fVi/OKPGBmYopMKKke+Hp+eL5s3lrCzGCBlQlHEEQ44vWlrQJwRZZ5nkjNPMDsMKg&#10;swanWUDTbbLKsRbRtcpGw+HLrAVXWQdceI+3l72TLhJ+XQsePtS1F4GokmJuIe0u7eu4Z4s5KzaO&#10;2UbyQxrsH7LQTBr89Ah1yQIjWyf/gtKSO/BQhwEHnUFdSy5SDVhNPnxSzXXDrEi1IDneHmny/w+W&#10;v999dERWJR3lU0oM09ik+9vvd79+3N/+vvt5Q+I9stRaX2DwtcXw0L2CDrudKvb2CvgXTwwsG2Y2&#10;4sI5aBvBKswyjy+zk6c9jo8g6/YdVPgZ2wZIQF3tdKQQSSGIjt3aHzskukA4Xk6msxzbTglHH2aW&#10;T1MLM1Y8vLbOhzcCNImHkjpUQEJnuysfYjaseAiJn3lQslpJpZLhNuulcmTHUC2rtFIBT8KUIW1J&#10;Z5PRJCEbiO+TkLQMqGYldUnPhnH1+opsvDZVCglMqv6MmShzoCcy0nMTunWHgZGzNVR7JMpBr1qc&#10;Mjw04L5R0qJiS+q/bpkTlKi3Bsme5eNxlHgyxpPpCA136lmfepjhCFXSQEl/XIY0FokHe4FNWcnE&#10;12Mmh1xRiYnGw9REqZ/aKepxthd/AAAA//8DAFBLAwQUAAYACAAAACEAZzVJEt8AAAALAQAADwAA&#10;AGRycy9kb3ducmV2LnhtbEyPwU7DMAyG70i8Q2QkbiyFjkJL02li4sIBiYEEx6xJm4rEiZKsK2+P&#10;OcHR9qff399uFmfZrGOaPAq4XhXANPZeTTgKeH97uroHlrJEJa1HLeBbJ9h052etbJQ/4aue93lk&#10;FIKpkQJMzqHhPPVGO5lWPmik2+Cjk5nGOHIV5YnCneU3RVFxJyekD0YG/Wh0/7U/OgEfzkxqF18+&#10;B2Xn3fOwvQ1LDEJcXizbB2BZL/kPhl99UoeOnA7+iCoxK6BaU5UsoK7rNTAC6ruKNgcii7IsgXct&#10;/9+h+wEAAP//AwBQSwECLQAUAAYACAAAACEAtoM4kv4AAADhAQAAEwAAAAAAAAAAAAAAAAAAAAAA&#10;W0NvbnRlbnRfVHlwZXNdLnhtbFBLAQItABQABgAIAAAAIQA4/SH/1gAAAJQBAAALAAAAAAAAAAAA&#10;AAAAAC8BAABfcmVscy8ucmVsc1BLAQItABQABgAIAAAAIQC8GOfvNgIAACMEAAAOAAAAAAAAAAAA&#10;AAAAAC4CAABkcnMvZTJvRG9jLnhtbFBLAQItABQABgAIAAAAIQBnNUkS3wAAAAsBAAAPAAAAAAAA&#10;AAAAAAAAAJAEAABkcnMvZG93bnJldi54bWxQSwUGAAAAAAQABADzAAAAnAUAAAAA&#10;" stroked="f">
                <v:textbox style="mso-fit-shape-to-text:t">
                  <w:txbxContent>
                    <w:p w:rsidR="00F54138" w:rsidRDefault="00F54138" w:rsidP="00F54138">
                      <w:pPr>
                        <w:pStyle w:val="ae"/>
                        <w:ind w:left="480"/>
                        <w:rPr>
                          <w:rFonts w:ascii="Times New Roman" w:hAnsi="Times New Roman" w:cs="Times New Roman"/>
                          <w:sz w:val="16"/>
                        </w:rPr>
                      </w:pPr>
                      <w:r>
                        <w:rPr>
                          <w:rFonts w:ascii="Times New Roman" w:hAnsi="Times New Roman" w:cs="Times New Roman"/>
                          <w:sz w:val="16"/>
                        </w:rPr>
                        <w:t>Note: In case of discrepancies or inconsistencies between the English and Chinese versions, the Chinese version shall prevail.</w:t>
                      </w:r>
                    </w:p>
                  </w:txbxContent>
                </v:textbox>
                <w10:wrap type="square"/>
              </v:shape>
            </w:pict>
          </mc:Fallback>
        </mc:AlternateContent>
      </w:r>
    </w:p>
    <w:sectPr w:rsidR="002E3AFA" w:rsidSect="002764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76427"/>
    <w:rsid w:val="0029639D"/>
    <w:rsid w:val="002E3AFA"/>
    <w:rsid w:val="00326F90"/>
    <w:rsid w:val="005C4D32"/>
    <w:rsid w:val="00AA1D8D"/>
    <w:rsid w:val="00B47730"/>
    <w:rsid w:val="00C34754"/>
    <w:rsid w:val="00CB0664"/>
    <w:rsid w:val="00CB30FC"/>
    <w:rsid w:val="00F5413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4B8EDB89-8FB1-4933-8B4C-26EB2F908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頁首 字元"/>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頁尾 字元"/>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標題 1 字元"/>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標題 2 字元"/>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標題 3 字元"/>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標題 字元"/>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標題 字元"/>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1"/>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字元"/>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字元"/>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字元"/>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巨集文字 字元"/>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文 字元"/>
    <w:basedOn w:val="a2"/>
    <w:link w:val="af5"/>
    <w:uiPriority w:val="29"/>
    <w:rsid w:val="00FC693F"/>
    <w:rPr>
      <w:i/>
      <w:iCs/>
      <w:color w:val="000000" w:themeColor="text1"/>
    </w:rPr>
  </w:style>
  <w:style w:type="character" w:customStyle="1" w:styleId="40">
    <w:name w:val="標題 4 字元"/>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標題 5 字元"/>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標題 6 字元"/>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標題 7 字元"/>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標題 8 字元"/>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標題 9 字元"/>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鮮明引文 字元"/>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aff1">
    <w:name w:val="TOC Heading"/>
    <w:basedOn w:val="1"/>
    <w:next w:val="a1"/>
    <w:uiPriority w:val="39"/>
    <w:semiHidden/>
    <w:unhideWhenUsed/>
    <w:qFormat/>
    <w:rsid w:val="00FC693F"/>
    <w:pPr>
      <w:outlineLvl w:val="9"/>
    </w:pPr>
  </w:style>
  <w:style w:type="table" w:styleId="aff2">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4">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5">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6">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7">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8">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9">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2FBCE-FBDA-49EF-90C4-C0EA62842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5</cp:revision>
  <dcterms:created xsi:type="dcterms:W3CDTF">2024-09-26T09:19:00Z</dcterms:created>
  <dcterms:modified xsi:type="dcterms:W3CDTF">2024-10-04T08:07:00Z</dcterms:modified>
  <cp:category/>
</cp:coreProperties>
</file>