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1B" w:rsidRDefault="00527BF4" w:rsidP="0005731B">
      <w:pPr>
        <w:spacing w:line="497" w:lineRule="exact"/>
        <w:ind w:left="517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4A050B">
        <w:rPr>
          <w:rFonts w:ascii="Times New Roman" w:eastAsia="標楷體" w:hAnsi="Times New Roman" w:cs="Times New Roman"/>
          <w:b/>
          <w:sz w:val="32"/>
        </w:rPr>
        <w:t>國立中興大學</w:t>
      </w:r>
      <w:r w:rsidR="00CF67CF">
        <w:rPr>
          <w:rFonts w:ascii="Times New Roman" w:eastAsia="標楷體" w:hAnsi="Times New Roman" w:cs="Times New Roman"/>
          <w:b/>
          <w:sz w:val="32"/>
        </w:rPr>
        <w:t>電</w:t>
      </w:r>
      <w:r w:rsidR="003309A6">
        <w:rPr>
          <w:rFonts w:ascii="Times New Roman" w:eastAsia="標楷體" w:hAnsi="Times New Roman" w:cs="Times New Roman" w:hint="eastAsia"/>
          <w:b/>
          <w:sz w:val="32"/>
        </w:rPr>
        <w:t>機</w:t>
      </w:r>
      <w:r w:rsidR="00CF67CF">
        <w:rPr>
          <w:rFonts w:ascii="Times New Roman" w:eastAsia="標楷體" w:hAnsi="Times New Roman" w:cs="Times New Roman"/>
          <w:b/>
          <w:sz w:val="32"/>
        </w:rPr>
        <w:t>資</w:t>
      </w:r>
      <w:r w:rsidR="00A74B99">
        <w:rPr>
          <w:rFonts w:ascii="Times New Roman" w:eastAsia="標楷體" w:hAnsi="Times New Roman" w:cs="Times New Roman" w:hint="eastAsia"/>
          <w:b/>
          <w:sz w:val="32"/>
        </w:rPr>
        <w:t>訊</w:t>
      </w:r>
      <w:r w:rsidR="00CF67CF">
        <w:rPr>
          <w:rFonts w:ascii="Times New Roman" w:eastAsia="標楷體" w:hAnsi="Times New Roman" w:cs="Times New Roman"/>
          <w:b/>
          <w:sz w:val="32"/>
        </w:rPr>
        <w:t>學院</w:t>
      </w:r>
      <w:r w:rsidRPr="004A050B">
        <w:rPr>
          <w:rFonts w:ascii="Times New Roman" w:eastAsia="標楷體" w:hAnsi="Times New Roman" w:cs="Times New Roman"/>
          <w:b/>
          <w:sz w:val="32"/>
        </w:rPr>
        <w:t>課程委員會組織章程</w:t>
      </w:r>
      <w:bookmarkEnd w:id="0"/>
    </w:p>
    <w:p w:rsidR="00E439FD" w:rsidRPr="004A050B" w:rsidRDefault="00E439FD" w:rsidP="0005731B">
      <w:pPr>
        <w:spacing w:line="497" w:lineRule="exact"/>
        <w:ind w:left="517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E439FD" w:rsidRDefault="00E439FD" w:rsidP="00E439FD">
      <w:pPr>
        <w:spacing w:line="205" w:lineRule="exact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107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年</w:t>
      </w:r>
      <w:r>
        <w:rPr>
          <w:rFonts w:ascii="Times New Roman" w:eastAsia="標楷體" w:hAnsi="Times New Roman" w:cs="Times New Roman" w:hint="eastAsia"/>
          <w:sz w:val="16"/>
        </w:rPr>
        <w:t>8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月</w:t>
      </w:r>
      <w:r>
        <w:rPr>
          <w:rFonts w:ascii="Times New Roman" w:eastAsia="標楷體" w:hAnsi="Times New Roman" w:cs="Times New Roman" w:hint="eastAsia"/>
          <w:spacing w:val="-1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日</w:t>
      </w:r>
      <w:r w:rsidRPr="00DD5EA8">
        <w:rPr>
          <w:rFonts w:ascii="Times New Roman" w:eastAsia="標楷體" w:hAnsi="Times New Roman" w:cs="Times New Roman"/>
          <w:sz w:val="16"/>
        </w:rPr>
        <w:t>院</w:t>
      </w:r>
      <w:proofErr w:type="gramStart"/>
      <w:r w:rsidRPr="00DD5EA8">
        <w:rPr>
          <w:rFonts w:ascii="Times New Roman" w:eastAsia="標楷體" w:hAnsi="Times New Roman" w:cs="Times New Roman"/>
          <w:sz w:val="16"/>
        </w:rPr>
        <w:t>務</w:t>
      </w:r>
      <w:proofErr w:type="gramEnd"/>
      <w:r w:rsidRPr="00DD5EA8">
        <w:rPr>
          <w:rFonts w:ascii="Times New Roman" w:eastAsia="標楷體" w:hAnsi="Times New Roman" w:cs="Times New Roman"/>
          <w:sz w:val="16"/>
        </w:rPr>
        <w:t>會議通過</w:t>
      </w:r>
    </w:p>
    <w:p w:rsidR="00A128B7" w:rsidRDefault="00A128B7" w:rsidP="00A128B7">
      <w:pPr>
        <w:wordWrap w:val="0"/>
        <w:spacing w:line="205" w:lineRule="exact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109</w:t>
      </w:r>
      <w:r>
        <w:rPr>
          <w:rFonts w:ascii="Times New Roman" w:eastAsia="標楷體" w:hAnsi="Times New Roman" w:cs="Times New Roman" w:hint="eastAsia"/>
          <w:sz w:val="16"/>
        </w:rPr>
        <w:t>年</w:t>
      </w:r>
      <w:r w:rsidR="00282B31">
        <w:rPr>
          <w:rFonts w:ascii="Times New Roman" w:eastAsia="標楷體" w:hAnsi="Times New Roman" w:cs="Times New Roman" w:hint="eastAsia"/>
          <w:sz w:val="16"/>
        </w:rPr>
        <w:t>3</w:t>
      </w:r>
      <w:r>
        <w:rPr>
          <w:rFonts w:ascii="Times New Roman" w:eastAsia="標楷體" w:hAnsi="Times New Roman" w:cs="Times New Roman" w:hint="eastAsia"/>
          <w:sz w:val="16"/>
        </w:rPr>
        <w:t>月</w:t>
      </w:r>
      <w:r w:rsidR="00282B31">
        <w:rPr>
          <w:rFonts w:ascii="Times New Roman" w:eastAsia="標楷體" w:hAnsi="Times New Roman" w:cs="Times New Roman" w:hint="eastAsia"/>
          <w:sz w:val="16"/>
        </w:rPr>
        <w:t>19</w:t>
      </w:r>
      <w:r>
        <w:rPr>
          <w:rFonts w:ascii="Times New Roman" w:eastAsia="標楷體" w:hAnsi="Times New Roman" w:cs="Times New Roman" w:hint="eastAsia"/>
          <w:sz w:val="16"/>
        </w:rPr>
        <w:t>日院務會議修訂</w:t>
      </w:r>
      <w:r>
        <w:rPr>
          <w:rFonts w:ascii="Times New Roman" w:eastAsia="標楷體" w:hAnsi="Times New Roman" w:cs="Times New Roman" w:hint="eastAsia"/>
          <w:sz w:val="16"/>
        </w:rPr>
        <w:t>(</w:t>
      </w:r>
      <w:r>
        <w:rPr>
          <w:rFonts w:ascii="Times New Roman" w:eastAsia="標楷體" w:hAnsi="Times New Roman" w:cs="Times New Roman" w:hint="eastAsia"/>
          <w:sz w:val="16"/>
        </w:rPr>
        <w:t>第</w:t>
      </w:r>
      <w:r>
        <w:rPr>
          <w:rFonts w:ascii="Times New Roman" w:eastAsia="標楷體" w:hAnsi="Times New Roman" w:cs="Times New Roman" w:hint="eastAsia"/>
          <w:sz w:val="16"/>
        </w:rPr>
        <w:t>3</w:t>
      </w:r>
      <w:r>
        <w:rPr>
          <w:rFonts w:ascii="Times New Roman" w:eastAsia="標楷體" w:hAnsi="Times New Roman" w:cs="Times New Roman" w:hint="eastAsia"/>
          <w:sz w:val="16"/>
        </w:rPr>
        <w:t>、</w:t>
      </w:r>
      <w:r>
        <w:rPr>
          <w:rFonts w:ascii="Times New Roman" w:eastAsia="標楷體" w:hAnsi="Times New Roman" w:cs="Times New Roman" w:hint="eastAsia"/>
          <w:sz w:val="16"/>
        </w:rPr>
        <w:t>6</w:t>
      </w:r>
      <w:r>
        <w:rPr>
          <w:rFonts w:ascii="Times New Roman" w:eastAsia="標楷體" w:hAnsi="Times New Roman" w:cs="Times New Roman" w:hint="eastAsia"/>
          <w:sz w:val="16"/>
        </w:rPr>
        <w:t>條</w:t>
      </w:r>
      <w:r>
        <w:rPr>
          <w:rFonts w:ascii="Times New Roman" w:eastAsia="標楷體" w:hAnsi="Times New Roman" w:cs="Times New Roman" w:hint="eastAsia"/>
          <w:sz w:val="16"/>
        </w:rPr>
        <w:t>)</w:t>
      </w:r>
    </w:p>
    <w:p w:rsidR="004A050B" w:rsidRDefault="004A050B">
      <w:pPr>
        <w:pStyle w:val="a3"/>
        <w:ind w:left="0"/>
        <w:rPr>
          <w:rFonts w:ascii="Times New Roman" w:eastAsia="標楷體" w:hAnsi="Times New Roman" w:cs="Times New Roman"/>
          <w:sz w:val="20"/>
        </w:rPr>
      </w:pPr>
    </w:p>
    <w:p w:rsidR="004A050B" w:rsidRDefault="004A050B">
      <w:pPr>
        <w:pStyle w:val="a3"/>
        <w:ind w:left="0"/>
        <w:rPr>
          <w:rFonts w:ascii="Times New Roman" w:eastAsia="標楷體" w:hAnsi="Times New Roman" w:cs="Times New Roman"/>
          <w:sz w:val="20"/>
        </w:rPr>
      </w:pPr>
    </w:p>
    <w:p w:rsidR="004A050B" w:rsidRPr="004A050B" w:rsidRDefault="004A050B">
      <w:pPr>
        <w:pStyle w:val="a3"/>
        <w:ind w:left="0"/>
        <w:rPr>
          <w:rFonts w:ascii="Times New Roman" w:eastAsia="標楷體" w:hAnsi="Times New Roman" w:cs="Times New Roman"/>
          <w:sz w:val="20"/>
        </w:rPr>
      </w:pPr>
    </w:p>
    <w:p w:rsidR="003E366D" w:rsidRPr="004A050B" w:rsidRDefault="003E366D" w:rsidP="004A050B">
      <w:pPr>
        <w:pStyle w:val="a3"/>
        <w:spacing w:before="9"/>
        <w:ind w:left="1045" w:hangingChars="550" w:hanging="1045"/>
        <w:jc w:val="both"/>
        <w:rPr>
          <w:rFonts w:ascii="Times New Roman" w:eastAsia="標楷體" w:hAnsi="Times New Roman" w:cs="Times New Roman"/>
          <w:sz w:val="19"/>
        </w:rPr>
      </w:pPr>
    </w:p>
    <w:p w:rsidR="004A050B" w:rsidRDefault="00527BF4" w:rsidP="004A050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依據「國立中興大學課程委員會組織章程」第五條規定，設置「國立中興大學</w:t>
      </w:r>
      <w:r w:rsidR="00665E4A">
        <w:rPr>
          <w:rFonts w:ascii="Times New Roman" w:eastAsia="標楷體" w:hAnsi="Times New Roman" w:cs="Times New Roman"/>
        </w:rPr>
        <w:t>電機資訊學院</w:t>
      </w:r>
      <w:r w:rsidRPr="004A050B">
        <w:rPr>
          <w:rFonts w:ascii="Times New Roman" w:eastAsia="標楷體" w:hAnsi="Times New Roman" w:cs="Times New Roman"/>
        </w:rPr>
        <w:t>課程委員會</w:t>
      </w:r>
      <w:r w:rsidRPr="004A050B">
        <w:rPr>
          <w:rFonts w:ascii="Times New Roman" w:eastAsia="標楷體" w:hAnsi="Times New Roman" w:cs="Times New Roman"/>
          <w:spacing w:val="-20"/>
        </w:rPr>
        <w:t>」</w:t>
      </w:r>
      <w:r w:rsidRPr="004A050B">
        <w:rPr>
          <w:rFonts w:ascii="Times New Roman" w:eastAsia="標楷體" w:hAnsi="Times New Roman" w:cs="Times New Roman"/>
        </w:rPr>
        <w:t>（以下簡</w:t>
      </w:r>
      <w:r w:rsidRPr="004A050B">
        <w:rPr>
          <w:rFonts w:ascii="Times New Roman" w:eastAsia="標楷體" w:hAnsi="Times New Roman" w:cs="Times New Roman"/>
          <w:spacing w:val="-10"/>
        </w:rPr>
        <w:t>稱</w:t>
      </w:r>
      <w:r w:rsidRPr="004A050B">
        <w:rPr>
          <w:rFonts w:ascii="Times New Roman" w:eastAsia="標楷體" w:hAnsi="Times New Roman" w:cs="Times New Roman"/>
        </w:rPr>
        <w:t>「本會</w:t>
      </w:r>
      <w:r w:rsidRPr="004A050B">
        <w:rPr>
          <w:rFonts w:ascii="Times New Roman" w:eastAsia="標楷體" w:hAnsi="Times New Roman" w:cs="Times New Roman"/>
          <w:spacing w:val="-10"/>
        </w:rPr>
        <w:t>」），</w:t>
      </w:r>
      <w:r w:rsidRPr="004A050B">
        <w:rPr>
          <w:rFonts w:ascii="Times New Roman" w:eastAsia="標楷體" w:hAnsi="Times New Roman" w:cs="Times New Roman"/>
        </w:rPr>
        <w:t>並訂</w:t>
      </w:r>
      <w:r w:rsidRPr="004A050B">
        <w:rPr>
          <w:rFonts w:ascii="Times New Roman" w:eastAsia="標楷體" w:hAnsi="Times New Roman" w:cs="Times New Roman"/>
          <w:spacing w:val="-10"/>
        </w:rPr>
        <w:t>定</w:t>
      </w:r>
      <w:r w:rsidRPr="004A050B">
        <w:rPr>
          <w:rFonts w:ascii="Times New Roman" w:eastAsia="標楷體" w:hAnsi="Times New Roman" w:cs="Times New Roman"/>
        </w:rPr>
        <w:t>「國立中興大學</w:t>
      </w:r>
      <w:r w:rsidR="00665E4A">
        <w:rPr>
          <w:rFonts w:ascii="Times New Roman" w:eastAsia="標楷體" w:hAnsi="Times New Roman" w:cs="Times New Roman"/>
        </w:rPr>
        <w:t>電機資訊學院</w:t>
      </w:r>
      <w:r w:rsidRPr="004A050B">
        <w:rPr>
          <w:rFonts w:ascii="Times New Roman" w:eastAsia="標楷體" w:hAnsi="Times New Roman" w:cs="Times New Roman"/>
        </w:rPr>
        <w:t>課程委員會組織章程</w:t>
      </w:r>
      <w:r w:rsidRPr="004A050B">
        <w:rPr>
          <w:rFonts w:ascii="Times New Roman" w:eastAsia="標楷體" w:hAnsi="Times New Roman" w:cs="Times New Roman"/>
          <w:spacing w:val="-15"/>
        </w:rPr>
        <w:t>」</w:t>
      </w:r>
      <w:r w:rsidRPr="004A050B">
        <w:rPr>
          <w:rFonts w:ascii="Times New Roman" w:eastAsia="標楷體" w:hAnsi="Times New Roman" w:cs="Times New Roman"/>
        </w:rPr>
        <w:t>（以下簡稱「本章程」）。</w:t>
      </w:r>
    </w:p>
    <w:p w:rsidR="00071BDB" w:rsidRPr="00071BDB" w:rsidRDefault="00527BF4" w:rsidP="00071BD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本會之職責在於訂定</w:t>
      </w:r>
      <w:proofErr w:type="gramStart"/>
      <w:r w:rsidRPr="004A050B">
        <w:rPr>
          <w:rFonts w:ascii="Times New Roman" w:eastAsia="標楷體" w:hAnsi="Times New Roman" w:cs="Times New Roman"/>
        </w:rPr>
        <w:t>全院性之</w:t>
      </w:r>
      <w:proofErr w:type="gramEnd"/>
      <w:r w:rsidRPr="004A050B">
        <w:rPr>
          <w:rFonts w:ascii="Times New Roman" w:eastAsia="標楷體" w:hAnsi="Times New Roman" w:cs="Times New Roman"/>
        </w:rPr>
        <w:t>課程規劃準則，審議院及系、所所規劃之課程，並協調</w:t>
      </w:r>
      <w:proofErr w:type="gramStart"/>
      <w:r w:rsidRPr="004A050B">
        <w:rPr>
          <w:rFonts w:ascii="Times New Roman" w:eastAsia="標楷體" w:hAnsi="Times New Roman" w:cs="Times New Roman"/>
        </w:rPr>
        <w:t>全院性有</w:t>
      </w:r>
      <w:proofErr w:type="gramEnd"/>
      <w:r w:rsidRPr="004A050B">
        <w:rPr>
          <w:rFonts w:ascii="Times New Roman" w:eastAsia="標楷體" w:hAnsi="Times New Roman" w:cs="Times New Roman"/>
        </w:rPr>
        <w:t>關課程之事宜。</w:t>
      </w:r>
      <w:proofErr w:type="gramStart"/>
      <w:r w:rsidRPr="004A050B">
        <w:rPr>
          <w:rFonts w:ascii="Times New Roman" w:eastAsia="標楷體" w:hAnsi="Times New Roman" w:cs="Times New Roman"/>
        </w:rPr>
        <w:t>凡系</w:t>
      </w:r>
      <w:proofErr w:type="gramEnd"/>
      <w:r w:rsidRPr="004A050B">
        <w:rPr>
          <w:rFonts w:ascii="Times New Roman" w:eastAsia="標楷體" w:hAnsi="Times New Roman" w:cs="Times New Roman"/>
        </w:rPr>
        <w:t>、所課程規劃案，需</w:t>
      </w:r>
      <w:proofErr w:type="gramStart"/>
      <w:r w:rsidRPr="004A050B">
        <w:rPr>
          <w:rFonts w:ascii="Times New Roman" w:eastAsia="標楷體" w:hAnsi="Times New Roman" w:cs="Times New Roman"/>
        </w:rPr>
        <w:t>經由</w:t>
      </w:r>
      <w:proofErr w:type="gramEnd"/>
      <w:r w:rsidRPr="004A050B">
        <w:rPr>
          <w:rFonts w:ascii="Times New Roman" w:eastAsia="標楷體" w:hAnsi="Times New Roman" w:cs="Times New Roman"/>
        </w:rPr>
        <w:t>系、所課程委員會審議通過後，始得提本會審議。</w:t>
      </w:r>
    </w:p>
    <w:p w:rsidR="004A050B" w:rsidRPr="00DF3733" w:rsidRDefault="00071BDB" w:rsidP="00DF3733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DF3733">
        <w:rPr>
          <w:rFonts w:ascii="Times New Roman" w:eastAsia="標楷體" w:hAnsi="Times New Roman" w:cs="Times New Roman" w:hint="eastAsia"/>
        </w:rPr>
        <w:t>本院課程委員會，由院長</w:t>
      </w:r>
      <w:r w:rsidR="00257F57" w:rsidRPr="00DF3733">
        <w:rPr>
          <w:rFonts w:ascii="Times New Roman" w:eastAsia="標楷體" w:hAnsi="Times New Roman" w:cs="Times New Roman" w:hint="eastAsia"/>
        </w:rPr>
        <w:t>(</w:t>
      </w:r>
      <w:r w:rsidR="00257F57" w:rsidRPr="00DF3733">
        <w:rPr>
          <w:rFonts w:ascii="Times New Roman" w:eastAsia="標楷體" w:hAnsi="Times New Roman" w:cs="Times New Roman" w:hint="eastAsia"/>
        </w:rPr>
        <w:t>主任委員兼召集人</w:t>
      </w:r>
      <w:r w:rsidR="00257F57" w:rsidRPr="00DF3733">
        <w:rPr>
          <w:rFonts w:ascii="Times New Roman" w:eastAsia="標楷體" w:hAnsi="Times New Roman" w:cs="Times New Roman" w:hint="eastAsia"/>
        </w:rPr>
        <w:t>)</w:t>
      </w:r>
      <w:r w:rsidRPr="00DF3733">
        <w:rPr>
          <w:rFonts w:ascii="Times New Roman" w:eastAsia="標楷體" w:hAnsi="Times New Roman" w:cs="Times New Roman" w:hint="eastAsia"/>
        </w:rPr>
        <w:t>、副院長、</w:t>
      </w:r>
      <w:r w:rsidRPr="00DF3733">
        <w:rPr>
          <w:rFonts w:ascii="Times New Roman" w:eastAsia="標楷體" w:hAnsi="Times New Roman" w:cs="Times New Roman" w:hint="eastAsia"/>
          <w:color w:val="FF0000"/>
          <w:u w:val="single"/>
        </w:rPr>
        <w:t>各系</w:t>
      </w:r>
      <w:r w:rsidR="003D04CF" w:rsidRPr="00DF3733">
        <w:rPr>
          <w:rFonts w:ascii="Times New Roman" w:eastAsia="標楷體" w:hAnsi="Times New Roman" w:cs="Times New Roman" w:hint="eastAsia"/>
          <w:color w:val="FF0000"/>
          <w:u w:val="single"/>
        </w:rPr>
        <w:t>(</w:t>
      </w:r>
      <w:r w:rsidRPr="00DF3733">
        <w:rPr>
          <w:rFonts w:ascii="Times New Roman" w:eastAsia="標楷體" w:hAnsi="Times New Roman" w:cs="Times New Roman" w:hint="eastAsia"/>
          <w:color w:val="FF0000"/>
          <w:u w:val="single"/>
        </w:rPr>
        <w:t>所</w:t>
      </w:r>
      <w:r w:rsidR="003D04CF" w:rsidRPr="00DF3733">
        <w:rPr>
          <w:rFonts w:ascii="Times New Roman" w:eastAsia="標楷體" w:hAnsi="Times New Roman" w:cs="Times New Roman" w:hint="eastAsia"/>
          <w:color w:val="FF0000"/>
          <w:u w:val="single"/>
        </w:rPr>
        <w:t>、班</w:t>
      </w:r>
      <w:r w:rsidR="003D04CF" w:rsidRPr="00DF3733">
        <w:rPr>
          <w:rFonts w:ascii="Times New Roman" w:eastAsia="標楷體" w:hAnsi="Times New Roman" w:cs="Times New Roman" w:hint="eastAsia"/>
          <w:color w:val="FF0000"/>
          <w:u w:val="single"/>
        </w:rPr>
        <w:t>)</w:t>
      </w:r>
      <w:r w:rsidRPr="00DF3733">
        <w:rPr>
          <w:rFonts w:ascii="Times New Roman" w:eastAsia="標楷體" w:hAnsi="Times New Roman" w:cs="Times New Roman" w:hint="eastAsia"/>
          <w:color w:val="FF0000"/>
          <w:u w:val="single"/>
        </w:rPr>
        <w:t>主管</w:t>
      </w:r>
      <w:r w:rsidRPr="00DF3733">
        <w:rPr>
          <w:rFonts w:ascii="Times New Roman" w:eastAsia="標楷體" w:hAnsi="Times New Roman" w:cs="Times New Roman" w:hint="eastAsia"/>
        </w:rPr>
        <w:t>、各系課程委員會委員</w:t>
      </w:r>
      <w:r w:rsidR="00450C8E" w:rsidRPr="00DF3733">
        <w:rPr>
          <w:rFonts w:ascii="Times New Roman" w:eastAsia="標楷體" w:hAnsi="Times New Roman" w:cs="Times New Roman" w:hint="eastAsia"/>
        </w:rPr>
        <w:t>各</w:t>
      </w:r>
      <w:r w:rsidR="00BE4C4B" w:rsidRPr="00DF3733">
        <w:rPr>
          <w:rFonts w:ascii="Times New Roman" w:eastAsia="標楷體" w:hAnsi="Times New Roman" w:cs="Times New Roman" w:hint="eastAsia"/>
        </w:rPr>
        <w:t>推派</w:t>
      </w:r>
      <w:r w:rsidRPr="00DF3733">
        <w:rPr>
          <w:rFonts w:ascii="Times New Roman" w:eastAsia="標楷體" w:hAnsi="Times New Roman" w:cs="Times New Roman" w:hint="eastAsia"/>
        </w:rPr>
        <w:t>一人，</w:t>
      </w:r>
      <w:r w:rsidR="004A050B" w:rsidRPr="00DF3733">
        <w:rPr>
          <w:rFonts w:ascii="Times New Roman" w:eastAsia="標楷體" w:hAnsi="Times New Roman" w:cs="Times New Roman"/>
        </w:rPr>
        <w:t>學生代表由本院研究所及大學部學生各推選一人，共同組成之。</w:t>
      </w:r>
      <w:r w:rsidR="00527BF4" w:rsidRPr="00DF3733">
        <w:rPr>
          <w:rFonts w:ascii="Times New Roman" w:eastAsia="標楷體" w:hAnsi="Times New Roman" w:cs="Times New Roman"/>
        </w:rPr>
        <w:t>主任委員得視需要邀請相關教師列席。</w:t>
      </w:r>
    </w:p>
    <w:p w:rsidR="004A050B" w:rsidRDefault="00527BF4" w:rsidP="004A050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各學系、所得分設課程委員會，其辦法由各系、所另訂之。</w:t>
      </w:r>
    </w:p>
    <w:p w:rsidR="004A050B" w:rsidRPr="00DF3733" w:rsidRDefault="00527BF4" w:rsidP="00DF3733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DF3733">
        <w:rPr>
          <w:rFonts w:ascii="Times New Roman" w:eastAsia="標楷體" w:hAnsi="Times New Roman" w:cs="Times New Roman"/>
        </w:rPr>
        <w:t>本會各委員任期二年，學生代表任期一年，連選得連任一次</w:t>
      </w:r>
      <w:r w:rsidRPr="00DF3733">
        <w:rPr>
          <w:rFonts w:ascii="Times New Roman" w:eastAsia="標楷體" w:hAnsi="Times New Roman" w:cs="Times New Roman"/>
          <w:spacing w:val="-17"/>
        </w:rPr>
        <w:t>。</w:t>
      </w:r>
    </w:p>
    <w:p w:rsidR="004A050B" w:rsidRDefault="00527BF4" w:rsidP="004A050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本會委員會議之召開以三分之二以上出席，會議之決議以出席委員及代表二分之一以上通過為之。</w:t>
      </w:r>
    </w:p>
    <w:p w:rsidR="004A050B" w:rsidRDefault="00527BF4" w:rsidP="004A050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本會每學年至少召開會議一次。</w:t>
      </w:r>
    </w:p>
    <w:p w:rsidR="003E366D" w:rsidRDefault="00527BF4" w:rsidP="004A050B">
      <w:pPr>
        <w:pStyle w:val="a3"/>
        <w:numPr>
          <w:ilvl w:val="0"/>
          <w:numId w:val="1"/>
        </w:numPr>
        <w:tabs>
          <w:tab w:val="left" w:pos="579"/>
        </w:tabs>
        <w:spacing w:before="1" w:line="256" w:lineRule="auto"/>
        <w:ind w:left="1320" w:right="103" w:hangingChars="550" w:hanging="1320"/>
        <w:jc w:val="both"/>
        <w:rPr>
          <w:rFonts w:ascii="Times New Roman" w:eastAsia="標楷體" w:hAnsi="Times New Roman" w:cs="Times New Roman"/>
        </w:rPr>
      </w:pPr>
      <w:r w:rsidRPr="004A050B">
        <w:rPr>
          <w:rFonts w:ascii="Times New Roman" w:eastAsia="標楷體" w:hAnsi="Times New Roman" w:cs="Times New Roman"/>
        </w:rPr>
        <w:t>本章程經院</w:t>
      </w:r>
      <w:proofErr w:type="gramStart"/>
      <w:r w:rsidRPr="004A050B">
        <w:rPr>
          <w:rFonts w:ascii="Times New Roman" w:eastAsia="標楷體" w:hAnsi="Times New Roman" w:cs="Times New Roman"/>
        </w:rPr>
        <w:t>務</w:t>
      </w:r>
      <w:proofErr w:type="gramEnd"/>
      <w:r w:rsidRPr="004A050B">
        <w:rPr>
          <w:rFonts w:ascii="Times New Roman" w:eastAsia="標楷體" w:hAnsi="Times New Roman" w:cs="Times New Roman"/>
        </w:rPr>
        <w:t>會議通過並報請校長核備後實施，修正時亦同。</w:t>
      </w:r>
    </w:p>
    <w:p w:rsidR="003D55C1" w:rsidRDefault="003D55C1" w:rsidP="003D55C1">
      <w:pPr>
        <w:pStyle w:val="a3"/>
        <w:tabs>
          <w:tab w:val="left" w:pos="579"/>
        </w:tabs>
        <w:spacing w:before="1" w:line="256" w:lineRule="auto"/>
        <w:ind w:right="103"/>
        <w:jc w:val="both"/>
        <w:rPr>
          <w:rFonts w:ascii="Times New Roman" w:eastAsia="標楷體" w:hAnsi="Times New Roman" w:cs="Times New Roman"/>
        </w:rPr>
      </w:pPr>
    </w:p>
    <w:p w:rsidR="003D04CF" w:rsidRPr="004A050B" w:rsidRDefault="003D04CF" w:rsidP="003D55C1">
      <w:pPr>
        <w:pStyle w:val="a3"/>
        <w:tabs>
          <w:tab w:val="left" w:pos="579"/>
        </w:tabs>
        <w:spacing w:before="1" w:line="256" w:lineRule="auto"/>
        <w:ind w:right="103"/>
        <w:jc w:val="both"/>
        <w:rPr>
          <w:rFonts w:ascii="Times New Roman" w:eastAsia="標楷體" w:hAnsi="Times New Roman" w:cs="Times New Roman"/>
        </w:rPr>
      </w:pPr>
    </w:p>
    <w:sectPr w:rsidR="003D04CF" w:rsidRPr="004A050B" w:rsidSect="00527BF4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F2" w:rsidRDefault="00904EF2" w:rsidP="000A1C94">
      <w:r>
        <w:separator/>
      </w:r>
    </w:p>
  </w:endnote>
  <w:endnote w:type="continuationSeparator" w:id="0">
    <w:p w:rsidR="00904EF2" w:rsidRDefault="00904EF2" w:rsidP="000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F2" w:rsidRDefault="00904EF2" w:rsidP="000A1C94">
      <w:r>
        <w:separator/>
      </w:r>
    </w:p>
  </w:footnote>
  <w:footnote w:type="continuationSeparator" w:id="0">
    <w:p w:rsidR="00904EF2" w:rsidRDefault="00904EF2" w:rsidP="000A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4D33"/>
    <w:multiLevelType w:val="hybridMultilevel"/>
    <w:tmpl w:val="E1BC6EF2"/>
    <w:lvl w:ilvl="0" w:tplc="1F463356">
      <w:start w:val="1"/>
      <w:numFmt w:val="taiwaneseCountingThousand"/>
      <w:lvlText w:val="第%1條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66D"/>
    <w:rsid w:val="0005731B"/>
    <w:rsid w:val="00071BDB"/>
    <w:rsid w:val="00092EB4"/>
    <w:rsid w:val="000A1687"/>
    <w:rsid w:val="000A1C94"/>
    <w:rsid w:val="00257F57"/>
    <w:rsid w:val="00282B31"/>
    <w:rsid w:val="00321BF6"/>
    <w:rsid w:val="003309A6"/>
    <w:rsid w:val="003B38FE"/>
    <w:rsid w:val="003D04CF"/>
    <w:rsid w:val="003D55C1"/>
    <w:rsid w:val="003E366D"/>
    <w:rsid w:val="00403997"/>
    <w:rsid w:val="00450C8E"/>
    <w:rsid w:val="004A050B"/>
    <w:rsid w:val="00527BF4"/>
    <w:rsid w:val="00552E74"/>
    <w:rsid w:val="00665E4A"/>
    <w:rsid w:val="00694272"/>
    <w:rsid w:val="006B7C48"/>
    <w:rsid w:val="006E06CC"/>
    <w:rsid w:val="00705C4F"/>
    <w:rsid w:val="0083187F"/>
    <w:rsid w:val="008F12A9"/>
    <w:rsid w:val="00904EF2"/>
    <w:rsid w:val="00905289"/>
    <w:rsid w:val="009537D0"/>
    <w:rsid w:val="00A128B7"/>
    <w:rsid w:val="00A74B99"/>
    <w:rsid w:val="00AD538A"/>
    <w:rsid w:val="00B94916"/>
    <w:rsid w:val="00BE4C4B"/>
    <w:rsid w:val="00BF644A"/>
    <w:rsid w:val="00C81A22"/>
    <w:rsid w:val="00C93073"/>
    <w:rsid w:val="00CF67CF"/>
    <w:rsid w:val="00D0310B"/>
    <w:rsid w:val="00DF3733"/>
    <w:rsid w:val="00E439FD"/>
    <w:rsid w:val="00F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342D2-EAB2-45B9-9F48-04EBCEDA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71BD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1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C94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A1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C94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DF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73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7F1A-AEB3-423D-8CFD-D2B0CD6B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國立中興大學電機資訊學院課程委員會組織章程</dc:title>
  <dc:creator>lili</dc:creator>
  <cp:lastModifiedBy>li</cp:lastModifiedBy>
  <cp:revision>23</cp:revision>
  <dcterms:created xsi:type="dcterms:W3CDTF">2018-06-02T01:37:00Z</dcterms:created>
  <dcterms:modified xsi:type="dcterms:W3CDTF">2020-04-17T12:32:00Z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2018-06-02T00:00:00Z</vt:filetime>
  </property>
</Properties>
</file>